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jc w:val="center"/>
        <w:rPr>
          <w:rFonts w:ascii="Times New Roman" w:hAnsi="Times New Roman" w:cs="Times New Roman"/>
          <w:i/>
          <w:i/>
          <w:sz w:val="40"/>
          <w:szCs w:val="40"/>
          <w:lang w:val="bg-BG"/>
        </w:rPr>
      </w:pPr>
      <w:r>
        <w:rPr>
          <w:rFonts w:cs="Times New Roman" w:ascii="Times New Roman" w:hAnsi="Times New Roman"/>
          <w:i/>
          <w:sz w:val="40"/>
          <w:szCs w:val="40"/>
          <w:lang w:val="bg-BG"/>
        </w:rPr>
        <w:t>ПСИХОЛОГИЧЕСКО ИЗСЛЕДВАНЕ</w:t>
      </w:r>
    </w:p>
    <w:p>
      <w:pPr>
        <w:pStyle w:val="Normal"/>
        <w:spacing w:lineRule="auto" w:line="360"/>
        <w:jc w:val="center"/>
        <w:rPr>
          <w:rFonts w:ascii="Times New Roman" w:hAnsi="Times New Roman" w:cs="Times New Roman"/>
          <w:i/>
          <w:i/>
          <w:sz w:val="40"/>
          <w:szCs w:val="40"/>
          <w:lang w:val="bg-BG"/>
        </w:rPr>
      </w:pPr>
      <w:r>
        <w:rPr>
          <w:rFonts w:cs="Times New Roman" w:ascii="Times New Roman" w:hAnsi="Times New Roman"/>
          <w:i/>
          <w:sz w:val="40"/>
          <w:szCs w:val="40"/>
          <w:lang w:val="bg-BG"/>
        </w:rPr>
        <w:t>по</w:t>
      </w:r>
    </w:p>
    <w:p>
      <w:pPr>
        <w:pStyle w:val="Normal"/>
        <w:spacing w:lineRule="auto" w:line="360"/>
        <w:jc w:val="center"/>
        <w:rPr>
          <w:rFonts w:ascii="Times New Roman" w:hAnsi="Times New Roman" w:cs="Times New Roman"/>
          <w:i/>
          <w:i/>
          <w:sz w:val="40"/>
          <w:szCs w:val="40"/>
          <w:lang w:val="bg-BG"/>
        </w:rPr>
      </w:pPr>
      <w:r>
        <w:rPr>
          <w:rFonts w:cs="Times New Roman" w:ascii="Times New Roman" w:hAnsi="Times New Roman"/>
          <w:i/>
          <w:sz w:val="40"/>
          <w:szCs w:val="40"/>
          <w:lang w:val="bg-BG"/>
        </w:rPr>
        <w:t>ИКОНОМИЧЕСКА ПСИХОЛОГИЯ</w:t>
      </w:r>
    </w:p>
    <w:p>
      <w:pPr>
        <w:pStyle w:val="Normal"/>
        <w:spacing w:lineRule="auto" w:line="360"/>
        <w:jc w:val="center"/>
        <w:rPr>
          <w:rFonts w:ascii="Times New Roman" w:hAnsi="Times New Roman" w:cs="Times New Roman"/>
          <w:i/>
          <w:i/>
          <w:sz w:val="40"/>
          <w:szCs w:val="40"/>
          <w:lang w:val="bg-BG"/>
        </w:rPr>
      </w:pPr>
      <w:r>
        <w:rPr>
          <w:rFonts w:cs="Times New Roman" w:ascii="Times New Roman" w:hAnsi="Times New Roman"/>
          <w:i/>
          <w:sz w:val="40"/>
          <w:szCs w:val="40"/>
          <w:lang w:val="bg-BG"/>
        </w:rPr>
        <w:t>на тема</w:t>
      </w:r>
    </w:p>
    <w:p>
      <w:pPr>
        <w:pStyle w:val="Normal"/>
        <w:spacing w:lineRule="auto" w:line="360"/>
        <w:jc w:val="center"/>
        <w:rPr>
          <w:rFonts w:ascii="Times New Roman" w:hAnsi="Times New Roman" w:cs="Times New Roman"/>
          <w:b/>
          <w:b/>
          <w:i/>
          <w:i/>
          <w:sz w:val="40"/>
          <w:szCs w:val="40"/>
          <w:u w:val="single"/>
          <w:lang w:val="bg-BG"/>
        </w:rPr>
      </w:pPr>
      <w:r>
        <w:rPr>
          <w:rFonts w:cs="Times New Roman" w:ascii="Times New Roman" w:hAnsi="Times New Roman"/>
          <w:b/>
          <w:i/>
          <w:sz w:val="40"/>
          <w:szCs w:val="40"/>
          <w:u w:val="single"/>
          <w:lang w:val="bg-BG"/>
        </w:rPr>
        <w:t>Влинието на доминиращата хемисфера при зрително-двигателната кординация на двете ръце, при извършване професионална дейност, изискваща прецизност на движенията на лавя ръка и дясна ръка</w:t>
      </w:r>
    </w:p>
    <w:p>
      <w:pPr>
        <w:pStyle w:val="Normal"/>
        <w:spacing w:lineRule="auto" w:line="360"/>
        <w:jc w:val="center"/>
        <w:rPr>
          <w:rFonts w:ascii="Times New Roman" w:hAnsi="Times New Roman" w:cs="Times New Roman"/>
          <w:b/>
          <w:b/>
          <w:i/>
          <w:i/>
          <w:sz w:val="40"/>
          <w:szCs w:val="40"/>
          <w:u w:val="single"/>
          <w:lang w:val="bg-BG"/>
        </w:rPr>
      </w:pPr>
      <w:r>
        <w:rPr>
          <w:rFonts w:cs="Times New Roman" w:ascii="Times New Roman" w:hAnsi="Times New Roman"/>
          <w:b/>
          <w:i/>
          <w:sz w:val="40"/>
          <w:szCs w:val="40"/>
          <w:u w:val="single"/>
          <w:lang w:val="bg-BG"/>
        </w:rPr>
      </w:r>
    </w:p>
    <w:p>
      <w:pPr>
        <w:pStyle w:val="Normal"/>
        <w:spacing w:lineRule="auto" w:line="360"/>
        <w:jc w:val="center"/>
        <w:rPr>
          <w:rFonts w:ascii="Times New Roman" w:hAnsi="Times New Roman" w:cs="Times New Roman"/>
          <w:b/>
          <w:b/>
          <w:i/>
          <w:i/>
          <w:sz w:val="40"/>
          <w:szCs w:val="40"/>
          <w:u w:val="single"/>
          <w:lang w:val="bg-BG"/>
        </w:rPr>
      </w:pPr>
      <w:r>
        <w:rPr>
          <w:rFonts w:cs="Times New Roman" w:ascii="Times New Roman" w:hAnsi="Times New Roman"/>
          <w:b/>
          <w:i/>
          <w:sz w:val="40"/>
          <w:szCs w:val="40"/>
          <w:u w:val="single"/>
          <w:lang w:val="bg-BG"/>
        </w:rPr>
      </w:r>
    </w:p>
    <w:p>
      <w:pPr>
        <w:pStyle w:val="Normal"/>
        <w:spacing w:lineRule="auto" w:line="360"/>
        <w:jc w:val="center"/>
        <w:rPr>
          <w:rFonts w:ascii="Times New Roman" w:hAnsi="Times New Roman" w:cs="Times New Roman"/>
          <w:b/>
          <w:b/>
          <w:i/>
          <w:i/>
          <w:sz w:val="40"/>
          <w:szCs w:val="40"/>
          <w:u w:val="single"/>
          <w:lang w:val="bg-BG"/>
        </w:rPr>
      </w:pPr>
      <w:r>
        <w:rPr>
          <w:rFonts w:cs="Times New Roman" w:ascii="Times New Roman" w:hAnsi="Times New Roman"/>
          <w:b/>
          <w:i/>
          <w:sz w:val="40"/>
          <w:szCs w:val="40"/>
          <w:u w:val="single"/>
          <w:lang w:val="bg-BG"/>
        </w:rPr>
      </w:r>
    </w:p>
    <w:p>
      <w:pPr>
        <w:pStyle w:val="Normal"/>
        <w:spacing w:lineRule="auto" w:line="360"/>
        <w:jc w:val="center"/>
        <w:rPr>
          <w:rFonts w:ascii="Times New Roman" w:hAnsi="Times New Roman" w:cs="Times New Roman"/>
          <w:b/>
          <w:b/>
          <w:i/>
          <w:i/>
          <w:sz w:val="40"/>
          <w:szCs w:val="40"/>
          <w:u w:val="single"/>
          <w:lang w:val="bg-BG"/>
        </w:rPr>
      </w:pPr>
      <w:r>
        <w:rPr>
          <w:rFonts w:cs="Times New Roman" w:ascii="Times New Roman" w:hAnsi="Times New Roman"/>
          <w:b/>
          <w:i/>
          <w:sz w:val="40"/>
          <w:szCs w:val="40"/>
          <w:u w:val="single"/>
          <w:lang w:val="bg-BG"/>
        </w:rPr>
      </w:r>
    </w:p>
    <w:p>
      <w:pPr>
        <w:pStyle w:val="Normal"/>
        <w:spacing w:lineRule="auto" w:line="360"/>
        <w:jc w:val="right"/>
        <w:rPr>
          <w:rFonts w:ascii="Times New Roman" w:hAnsi="Times New Roman" w:cs="Times New Roman"/>
          <w:i/>
          <w:i/>
          <w:sz w:val="32"/>
          <w:szCs w:val="32"/>
          <w:lang w:val="bg-BG"/>
        </w:rPr>
      </w:pPr>
      <w:r>
        <w:rPr>
          <w:rFonts w:cs="Times New Roman" w:ascii="Times New Roman" w:hAnsi="Times New Roman"/>
          <w:i/>
          <w:sz w:val="32"/>
          <w:szCs w:val="32"/>
          <w:lang w:val="bg-BG"/>
        </w:rPr>
        <w:t xml:space="preserve">Изготвил: </w:t>
      </w:r>
      <w:bookmarkStart w:id="0" w:name="_GoBack"/>
      <w:bookmarkEnd w:id="0"/>
    </w:p>
    <w:p>
      <w:pPr>
        <w:pStyle w:val="Normal"/>
        <w:spacing w:lineRule="auto" w:line="360"/>
        <w:jc w:val="right"/>
        <w:rPr>
          <w:rFonts w:ascii="Times New Roman" w:hAnsi="Times New Roman" w:cs="Times New Roman"/>
          <w:i/>
          <w:i/>
          <w:sz w:val="32"/>
          <w:szCs w:val="32"/>
        </w:rPr>
      </w:pPr>
      <w:r>
        <w:rPr>
          <w:rFonts w:cs="Times New Roman" w:ascii="Times New Roman" w:hAnsi="Times New Roman"/>
          <w:i/>
          <w:sz w:val="32"/>
          <w:szCs w:val="32"/>
          <w:lang w:val="bg-BG"/>
        </w:rPr>
        <w:t>фак.Н.</w:t>
      </w:r>
    </w:p>
    <w:p>
      <w:pPr>
        <w:pStyle w:val="Normal"/>
        <w:spacing w:lineRule="auto" w:line="360"/>
        <w:jc w:val="right"/>
        <w:rPr>
          <w:rFonts w:ascii="Times New Roman" w:hAnsi="Times New Roman" w:cs="Times New Roman"/>
          <w:i/>
          <w:i/>
          <w:sz w:val="32"/>
          <w:szCs w:val="32"/>
        </w:rPr>
      </w:pPr>
      <w:r>
        <w:rPr>
          <w:rFonts w:cs="Times New Roman" w:ascii="Times New Roman" w:hAnsi="Times New Roman"/>
          <w:i/>
          <w:sz w:val="32"/>
          <w:szCs w:val="32"/>
          <w:lang w:val="bg-BG"/>
        </w:rPr>
        <w:t>Проверил: Гл.ас. д-р Иван Кръстев</w:t>
      </w:r>
    </w:p>
    <w:p>
      <w:pPr>
        <w:pStyle w:val="Normal"/>
        <w:spacing w:lineRule="auto" w:line="360"/>
        <w:jc w:val="center"/>
        <w:rPr>
          <w:rFonts w:ascii="Times New Roman" w:hAnsi="Times New Roman" w:cs="Times New Roman"/>
          <w:i/>
          <w:i/>
          <w:sz w:val="32"/>
          <w:szCs w:val="32"/>
          <w:lang w:val="bg-BG"/>
        </w:rPr>
      </w:pPr>
      <w:r>
        <w:rPr>
          <w:rFonts w:cs="Times New Roman" w:ascii="Times New Roman" w:hAnsi="Times New Roman"/>
          <w:b/>
          <w:i/>
          <w:sz w:val="40"/>
          <w:szCs w:val="40"/>
          <w:lang w:val="bg-BG"/>
        </w:rPr>
        <w:t>УВОД</w:t>
      </w:r>
    </w:p>
    <w:p>
      <w:pPr>
        <w:pStyle w:val="Normal"/>
        <w:spacing w:lineRule="auto" w:line="360"/>
        <w:jc w:val="center"/>
        <w:rPr>
          <w:rFonts w:ascii="Times New Roman" w:hAnsi="Times New Roman" w:cs="Times New Roman"/>
          <w:b/>
          <w:b/>
          <w:i/>
          <w:i/>
          <w:sz w:val="40"/>
          <w:szCs w:val="40"/>
          <w:lang w:val="bg-BG"/>
        </w:rPr>
      </w:pPr>
      <w:r>
        <w:rPr>
          <w:rFonts w:cs="Times New Roman" w:ascii="Times New Roman" w:hAnsi="Times New Roman"/>
          <w:b/>
          <w:i/>
          <w:sz w:val="40"/>
          <w:szCs w:val="40"/>
          <w:lang w:val="bg-BG"/>
        </w:rPr>
      </w:r>
    </w:p>
    <w:p>
      <w:pPr>
        <w:pStyle w:val="Normal"/>
        <w:spacing w:lineRule="auto" w:line="360"/>
        <w:rPr>
          <w:rFonts w:ascii="Times New Roman" w:hAnsi="Times New Roman" w:cs="Times New Roman"/>
          <w:i/>
          <w:i/>
          <w:sz w:val="28"/>
          <w:szCs w:val="28"/>
        </w:rPr>
      </w:pPr>
      <w:r>
        <w:rPr>
          <w:rFonts w:cs="Times New Roman" w:ascii="Times New Roman" w:hAnsi="Times New Roman"/>
          <w:i/>
          <w:sz w:val="28"/>
          <w:szCs w:val="28"/>
          <w:lang w:val="bg-BG"/>
        </w:rPr>
        <w:t xml:space="preserve">Установено е, че доминирането на лявата, респективно на дясната хемисфера, води до специфични различия между индивидите най-вече в когнитивната сфера. Тук говорим за функциите на вниманието, паметта, езика и речта. Американският генетик Амар Клар установява, че специфичен ген определя дали човек е леворък или деснорък още в утробата на майката. Леворъкостта е генетична унаследеност. В редица изследвания се доказва по-голямата предразположеност на леворъките към абстрактното, респективно на десноръките към конкретното. Това най-вече е свързано с разпределението на различните центрове на мозъка в лява, съответно дясна хемисфера. Става на въпрос за за делението на математическата логика в лявата хемисфера и абстракцията на мисълта, в дясната хемисфера. Макар и да не са съвсем изяснени точните механизми на влияние, доказано е, че мозъчната асиметрия, наследствеността, едиповите структури, социалните навици участват в установяваането на функционалната асиметрия за някои части на тялото. Най-вече вниманието привлича доминирането на едната ръка.        </w:t>
      </w:r>
    </w:p>
    <w:p>
      <w:pPr>
        <w:pStyle w:val="Normal"/>
        <w:spacing w:lineRule="auto" w:line="360"/>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360"/>
        <w:jc w:val="center"/>
        <w:rPr>
          <w:rFonts w:ascii="Times New Roman" w:hAnsi="Times New Roman" w:cs="Times New Roman"/>
          <w:i/>
          <w:i/>
          <w:sz w:val="40"/>
          <w:szCs w:val="40"/>
          <w:lang w:val="bg-BG"/>
        </w:rPr>
      </w:pPr>
      <w:r>
        <w:rPr>
          <w:rFonts w:cs="Times New Roman" w:ascii="Times New Roman" w:hAnsi="Times New Roman"/>
          <w:i/>
          <w:sz w:val="40"/>
          <w:szCs w:val="40"/>
          <w:lang w:val="bg-BG"/>
        </w:rPr>
        <w:t>ИЗЛОЖЕНИЕ</w:t>
      </w:r>
    </w:p>
    <w:p>
      <w:pPr>
        <w:pStyle w:val="Normal"/>
        <w:spacing w:lineRule="auto" w:line="360"/>
        <w:jc w:val="center"/>
        <w:rPr>
          <w:rFonts w:ascii="Times New Roman" w:hAnsi="Times New Roman" w:cs="Times New Roman"/>
          <w:i/>
          <w:i/>
          <w:sz w:val="40"/>
          <w:szCs w:val="40"/>
        </w:rPr>
      </w:pPr>
      <w:r>
        <w:rPr>
          <w:rFonts w:cs="Times New Roman" w:ascii="Times New Roman" w:hAnsi="Times New Roman"/>
          <w:i/>
          <w:sz w:val="40"/>
          <w:szCs w:val="40"/>
        </w:rPr>
      </w:r>
    </w:p>
    <w:p>
      <w:pPr>
        <w:pStyle w:val="Normal"/>
        <w:spacing w:lineRule="auto" w:line="360"/>
        <w:rPr>
          <w:rFonts w:ascii="Times New Roman" w:hAnsi="Times New Roman" w:cs="Times New Roman"/>
          <w:i/>
          <w:i/>
          <w:sz w:val="28"/>
          <w:szCs w:val="28"/>
          <w:lang w:val="bg-BG"/>
        </w:rPr>
      </w:pPr>
      <w:r>
        <w:rPr>
          <w:rFonts w:cs="Times New Roman" w:ascii="Times New Roman" w:hAnsi="Times New Roman"/>
          <w:i/>
          <w:sz w:val="28"/>
          <w:szCs w:val="28"/>
          <w:lang w:val="bg-BG"/>
        </w:rPr>
        <w:t xml:space="preserve">Съществуват множество професии, за правилното реализиране на които се изисква прецизност в движенията на двете ръце. Това става с оглед по-бързото и по-ефикасно осъществяване на дейността. Причините тук са главно икономически. С нарастване на конкуренцията в отделните отрасли, работодателите, опитвайки се да се наложат на пазара със своя продукт в буквален или преносен смисъл, търсят начини за оптимизиране на работната среда. В някои професии обаче, хората са си сами шефове и определят темпа на работа, но въпреки това желаят да придобият по-добра производителност и по-малко грешки.  Именно за това се толерират изследванията насочени към оптимизиране на работата. В случая изследване влиянието на доминиращата хемисфера спрямо координацията на ръцете заема интересна хипотеза. Ако се приложи изследването на достатъчно голям брой изследвани лица и тя се потвърди, това ще значи една революция в подбора на кадри. </w:t>
      </w:r>
    </w:p>
    <w:p>
      <w:pPr>
        <w:pStyle w:val="Normal"/>
        <w:spacing w:lineRule="auto" w:line="360"/>
        <w:rPr>
          <w:rFonts w:ascii="Times New Roman" w:hAnsi="Times New Roman" w:cs="Times New Roman"/>
          <w:i/>
          <w:i/>
          <w:sz w:val="28"/>
          <w:szCs w:val="28"/>
          <w:lang w:val="bg-BG"/>
        </w:rPr>
      </w:pPr>
      <w:r>
        <w:rPr>
          <w:rFonts w:cs="Times New Roman" w:ascii="Times New Roman" w:hAnsi="Times New Roman"/>
          <w:i/>
          <w:sz w:val="28"/>
          <w:szCs w:val="28"/>
          <w:lang w:val="bg-BG"/>
        </w:rPr>
        <w:tab/>
        <w:t xml:space="preserve">Трудът по начало се дели условно на физически и умствен. Макар във втория да не се изключва напълно физическото усилие, то неговата роля, спрямо тази на мозъчната дейност е минимална, дори може да се каже само поддържаща. В първият вид обаче, повече от половината професии изискват прецизност на двете ръце при реализирането на дейността. Това не се изисква само от работодателя с цел по-добро осъществяване на работния процес от икономическа гледна точка, а се вписва още в самото начало в длъжностната характеристика на самата професия към Агненция по заетостта в сайта на Министерство на труда и социалната политика. Недвусмислено става ясно, за необходимостта от намиране на нови начини и сведения, които ще допълнят и обновят знанията за по-добро намиране на кадри за такива икономически дейност, респективно за подобряване техниките на вече назначените кадри. До този момент са характеризирани множество фактори, които влияят при хората в реализиране на професионална дейност, изискваща разглежданата прецизност. Това са индивидуални особености, които обаче се разглеждат детайлно, с цел намиране на начини за положително влияние на работодатела върху тези фактори, които са податливи на въздействие. На първо място условно можем да определим наличието на общи или специални способности, в зависимост от целта, която преследва съответната конкретна професия. Пример за това са художниците, скулпторите, професионалните  спортисти – дартц, шах, лека атлетика, футбол, хандбал, тенис на корд, пинг понг и други. На второ място ще разгледаме физическата пригодност, която е опосредствана от редовното трениране на използваните в професионалната дейност мускулни групи, нивото на мазнини в тялото и най-вече дали и ако да – с колко надвишава нормалното за индивида, спрямо възраст, ръст и други показатели. На трето място ще се обособи темперамента. Той е пряко свързан с нервната система на човека и по-конкретно с нейния праг на чувствително/дразнимост. От темперамента се изхожда за бързината на протичане на движенията, както и на психичните процеси – мислене, кратковременна памет, дълговременна памет, възприятие и прочие. Той влияе и на качества на характера като търпение, емпатийност, мотивация и други. От своя страна генетичната ми обусловеност, води до извода, че външно влияние върху него е невъзможно. Други важен фактор, това е мотивацията. Тя е най-често срещания факт, върху който работодалетелят се насочва, когато иска повичашаване на продуктивността. Естественият и най-ефективен метод, това е икономическият, изразяващ се в повишаване на заплатите, празнични или единични бонуси и други подобни.  </w:t>
      </w:r>
    </w:p>
    <w:p>
      <w:pPr>
        <w:pStyle w:val="Normal"/>
        <w:spacing w:lineRule="auto" w:line="360"/>
        <w:rPr>
          <w:rFonts w:ascii="Times New Roman" w:hAnsi="Times New Roman" w:cs="Times New Roman"/>
          <w:i/>
          <w:i/>
          <w:sz w:val="28"/>
          <w:szCs w:val="28"/>
        </w:rPr>
      </w:pPr>
      <w:r>
        <w:rPr>
          <w:rFonts w:cs="Times New Roman" w:ascii="Times New Roman" w:hAnsi="Times New Roman"/>
          <w:b/>
          <w:i/>
          <w:sz w:val="28"/>
          <w:szCs w:val="28"/>
          <w:lang w:val="bg-BG"/>
        </w:rPr>
        <w:t>Целта</w:t>
      </w:r>
      <w:r>
        <w:rPr>
          <w:rFonts w:cs="Times New Roman" w:ascii="Times New Roman" w:hAnsi="Times New Roman"/>
          <w:i/>
          <w:sz w:val="28"/>
          <w:szCs w:val="28"/>
          <w:lang w:val="bg-BG"/>
        </w:rPr>
        <w:t xml:space="preserve"> на текущото психологическо изследване е насочено в установяването дали има релация между доминиращата хемисфера и прецизността в извършване на определени операции с ръце в професионална дейност, изискваща такава прецизност. Като в случая ще участват трима леворъки и пет десноръки, която доминираща хемисфера е определена с тест на </w:t>
      </w:r>
      <w:r>
        <w:rPr>
          <w:rFonts w:cs="Times New Roman" w:ascii="Times New Roman" w:hAnsi="Times New Roman"/>
          <w:i/>
          <w:sz w:val="28"/>
          <w:szCs w:val="28"/>
        </w:rPr>
        <w:t>Edinburgh Handedness Inventory.</w:t>
      </w:r>
    </w:p>
    <w:p>
      <w:pPr>
        <w:pStyle w:val="Normal"/>
        <w:spacing w:lineRule="auto" w:line="360"/>
        <w:rPr>
          <w:rFonts w:ascii="Times New Roman" w:hAnsi="Times New Roman" w:cs="Times New Roman"/>
          <w:i/>
          <w:i/>
          <w:sz w:val="28"/>
          <w:szCs w:val="28"/>
          <w:lang w:val="bg-BG"/>
        </w:rPr>
      </w:pPr>
      <w:r>
        <w:rPr>
          <w:rFonts w:cs="Times New Roman" w:ascii="Times New Roman" w:hAnsi="Times New Roman"/>
          <w:b/>
          <w:i/>
          <w:sz w:val="28"/>
          <w:szCs w:val="28"/>
          <w:lang w:val="bg-BG"/>
        </w:rPr>
        <w:t>Предмет</w:t>
      </w:r>
      <w:r>
        <w:rPr>
          <w:rFonts w:cs="Times New Roman" w:ascii="Times New Roman" w:hAnsi="Times New Roman"/>
          <w:i/>
          <w:sz w:val="28"/>
          <w:szCs w:val="28"/>
          <w:lang w:val="bg-BG"/>
        </w:rPr>
        <w:t xml:space="preserve"> на изследването е влиянието на доминираща лява или дясна ръка в извършване на презицност в професионална дейност, изискваща такава с двете ръце. Като за целта, лицата ще бъдат изследвани на тест 2 </w:t>
      </w:r>
      <w:r>
        <w:rPr>
          <w:rFonts w:cs="Times New Roman" w:ascii="Times New Roman" w:hAnsi="Times New Roman"/>
          <w:i/>
          <w:sz w:val="28"/>
          <w:szCs w:val="28"/>
        </w:rPr>
        <w:t>Hand</w:t>
      </w:r>
      <w:r>
        <w:rPr>
          <w:rFonts w:cs="Times New Roman" w:ascii="Times New Roman" w:hAnsi="Times New Roman"/>
          <w:i/>
          <w:sz w:val="28"/>
          <w:szCs w:val="28"/>
          <w:lang w:val="bg-BG"/>
        </w:rPr>
        <w:t>, предназначен за зрителна координация на двете ръце.</w:t>
      </w:r>
    </w:p>
    <w:p>
      <w:pPr>
        <w:pStyle w:val="Normal"/>
        <w:spacing w:lineRule="auto" w:line="360"/>
        <w:rPr>
          <w:rFonts w:ascii="Times New Roman" w:hAnsi="Times New Roman" w:cs="Times New Roman"/>
          <w:i/>
          <w:i/>
          <w:sz w:val="28"/>
          <w:szCs w:val="28"/>
          <w:lang w:val="bg-BG"/>
        </w:rPr>
      </w:pPr>
      <w:r>
        <w:rPr>
          <w:rFonts w:cs="Times New Roman" w:ascii="Times New Roman" w:hAnsi="Times New Roman"/>
          <w:b/>
          <w:i/>
          <w:sz w:val="28"/>
          <w:szCs w:val="28"/>
          <w:lang w:val="bg-BG"/>
        </w:rPr>
        <w:t>Изследвани</w:t>
      </w:r>
      <w:r>
        <w:rPr>
          <w:rFonts w:cs="Times New Roman" w:ascii="Times New Roman" w:hAnsi="Times New Roman"/>
          <w:b/>
          <w:i/>
          <w:sz w:val="28"/>
          <w:szCs w:val="28"/>
        </w:rPr>
        <w:t xml:space="preserve"> </w:t>
      </w:r>
      <w:r>
        <w:rPr>
          <w:rFonts w:cs="Times New Roman" w:ascii="Times New Roman" w:hAnsi="Times New Roman"/>
          <w:b/>
          <w:i/>
          <w:sz w:val="28"/>
          <w:szCs w:val="28"/>
          <w:lang w:val="bg-BG"/>
        </w:rPr>
        <w:t>лица</w:t>
      </w:r>
      <w:r>
        <w:rPr>
          <w:rFonts w:cs="Times New Roman" w:ascii="Times New Roman" w:hAnsi="Times New Roman"/>
          <w:b/>
          <w:i/>
          <w:sz w:val="28"/>
          <w:szCs w:val="28"/>
        </w:rPr>
        <w:t xml:space="preserve"> </w:t>
      </w:r>
      <w:r>
        <w:rPr>
          <w:rFonts w:cs="Times New Roman" w:ascii="Times New Roman" w:hAnsi="Times New Roman"/>
          <w:i/>
          <w:sz w:val="28"/>
          <w:szCs w:val="28"/>
          <w:lang w:val="bg-BG"/>
        </w:rPr>
        <w:t>са трима леворъки и петима десноръки всички на възраст между 21 и 22 години. Полът се изключва като детерминанта в текущото изследване.</w:t>
      </w:r>
    </w:p>
    <w:p>
      <w:pPr>
        <w:pStyle w:val="Normal"/>
        <w:spacing w:lineRule="auto" w:line="360"/>
        <w:rPr>
          <w:rFonts w:ascii="Times New Roman" w:hAnsi="Times New Roman" w:cs="Times New Roman"/>
          <w:i/>
          <w:i/>
          <w:sz w:val="28"/>
          <w:szCs w:val="28"/>
          <w:lang w:val="bg-BG"/>
        </w:rPr>
      </w:pPr>
      <w:r>
        <w:rPr>
          <w:rFonts w:cs="Times New Roman" w:ascii="Times New Roman" w:hAnsi="Times New Roman"/>
          <w:b/>
          <w:i/>
          <w:sz w:val="28"/>
          <w:szCs w:val="28"/>
          <w:lang w:val="bg-BG"/>
        </w:rPr>
        <w:t xml:space="preserve">Задачи на изследването: </w:t>
      </w:r>
      <w:r>
        <w:rPr>
          <w:rFonts w:cs="Times New Roman" w:ascii="Times New Roman" w:hAnsi="Times New Roman"/>
          <w:i/>
          <w:sz w:val="28"/>
          <w:szCs w:val="28"/>
          <w:lang w:val="bg-BG"/>
        </w:rPr>
        <w:t xml:space="preserve">Намиране на три леворъки и пет десноръки лица, на възраст между 21 и 22 години, чрез използване на тест </w:t>
      </w:r>
      <w:r>
        <w:rPr>
          <w:rFonts w:cs="Times New Roman" w:ascii="Times New Roman" w:hAnsi="Times New Roman"/>
          <w:i/>
          <w:sz w:val="28"/>
          <w:szCs w:val="28"/>
        </w:rPr>
        <w:t>Edinburgh Handedness Inventory.</w:t>
      </w:r>
      <w:r>
        <w:rPr>
          <w:rFonts w:cs="Times New Roman" w:ascii="Times New Roman" w:hAnsi="Times New Roman"/>
          <w:i/>
          <w:sz w:val="28"/>
          <w:szCs w:val="28"/>
          <w:lang w:val="bg-BG"/>
        </w:rPr>
        <w:t xml:space="preserve"> Уведомяване на тези лица, че ще са част от психологическо изследване. Набавянето на декларации, които всяко от лицата трябва да подпише. В тях се разяснява, че няма да бъдат уповестени лични данни на лицето, което е правило теста, че резултатите ще се изпозлват в научно изследване, за което лицето дава пълното си съгласие със собственоръчно поставения си подпис.</w:t>
      </w:r>
      <w:r>
        <w:rPr>
          <w:rFonts w:cs="Times New Roman" w:ascii="Times New Roman" w:hAnsi="Times New Roman"/>
          <w:i/>
          <w:sz w:val="28"/>
          <w:szCs w:val="28"/>
        </w:rPr>
        <w:t xml:space="preserve"> </w:t>
      </w:r>
      <w:r>
        <w:rPr>
          <w:rFonts w:cs="Times New Roman" w:ascii="Times New Roman" w:hAnsi="Times New Roman"/>
          <w:i/>
          <w:sz w:val="28"/>
          <w:szCs w:val="28"/>
          <w:lang w:val="bg-BG"/>
        </w:rPr>
        <w:t xml:space="preserve">Осигуряване материали за изследването – зала, в която да се проведе; компютър и наличните аксесуари, свързани с теста за Зрителна координация на двете ръце – 2 </w:t>
      </w:r>
      <w:r>
        <w:rPr>
          <w:rFonts w:cs="Times New Roman" w:ascii="Times New Roman" w:hAnsi="Times New Roman"/>
          <w:i/>
          <w:sz w:val="28"/>
          <w:szCs w:val="28"/>
        </w:rPr>
        <w:t>Hand;</w:t>
      </w:r>
      <w:r>
        <w:rPr>
          <w:rFonts w:cs="Times New Roman" w:ascii="Times New Roman" w:hAnsi="Times New Roman"/>
          <w:i/>
          <w:sz w:val="28"/>
          <w:szCs w:val="28"/>
          <w:lang w:val="bg-BG"/>
        </w:rPr>
        <w:t xml:space="preserve"> време за осъществяването на целия тест; тишина при неговото реализиране. Подробно разясняване инструкциите за употреба на апаратурата при осъществяването на 2</w:t>
      </w:r>
      <w:r>
        <w:rPr>
          <w:rFonts w:cs="Times New Roman" w:ascii="Times New Roman" w:hAnsi="Times New Roman"/>
          <w:i/>
          <w:sz w:val="28"/>
          <w:szCs w:val="28"/>
        </w:rPr>
        <w:t xml:space="preserve"> Hand </w:t>
      </w:r>
      <w:r>
        <w:rPr>
          <w:rFonts w:cs="Times New Roman" w:ascii="Times New Roman" w:hAnsi="Times New Roman"/>
          <w:i/>
          <w:sz w:val="28"/>
          <w:szCs w:val="28"/>
          <w:lang w:val="bg-BG"/>
        </w:rPr>
        <w:t>тест. Проверяване изправността на апаратурата, преди всяко изследвано лице да започне. Изследването протича рано сутрин в девет часа, за да се избегне умора на индивидите.</w:t>
      </w:r>
    </w:p>
    <w:p>
      <w:pPr>
        <w:pStyle w:val="Normal"/>
        <w:spacing w:lineRule="auto" w:line="360"/>
        <w:rPr>
          <w:rFonts w:ascii="Times New Roman" w:hAnsi="Times New Roman" w:cs="Times New Roman"/>
          <w:b/>
          <w:b/>
          <w:i/>
          <w:i/>
          <w:sz w:val="28"/>
          <w:szCs w:val="28"/>
          <w:lang w:val="bg-BG"/>
        </w:rPr>
      </w:pPr>
      <w:r>
        <w:rPr>
          <w:rFonts w:cs="Times New Roman" w:ascii="Times New Roman" w:hAnsi="Times New Roman"/>
          <w:b/>
          <w:i/>
          <w:sz w:val="28"/>
          <w:szCs w:val="28"/>
          <w:lang w:val="bg-BG"/>
        </w:rPr>
        <w:t>Основна хипотеза на изследването</w:t>
      </w:r>
    </w:p>
    <w:p>
      <w:pPr>
        <w:pStyle w:val="Normal"/>
        <w:spacing w:lineRule="auto" w:line="360"/>
        <w:rPr>
          <w:rFonts w:ascii="Times New Roman" w:hAnsi="Times New Roman" w:cs="Times New Roman"/>
          <w:i/>
          <w:i/>
          <w:sz w:val="28"/>
          <w:szCs w:val="28"/>
          <w:lang w:val="bg-BG"/>
        </w:rPr>
      </w:pPr>
      <w:r>
        <w:rPr>
          <w:rFonts w:cs="Times New Roman" w:ascii="Times New Roman" w:hAnsi="Times New Roman"/>
          <w:i/>
          <w:sz w:val="28"/>
          <w:szCs w:val="28"/>
          <w:lang w:val="bg-BG"/>
        </w:rPr>
        <w:t>Допуска се, че лицата, с доминираща дясна хемисфера, именно леворъките, ще проявяват по-добра координация на ръцете в извършване на професионална дейност, изискваща прецизност на движенията на ръцете.</w:t>
      </w:r>
    </w:p>
    <w:p>
      <w:pPr>
        <w:pStyle w:val="Normal"/>
        <w:spacing w:lineRule="auto" w:line="360"/>
        <w:rPr>
          <w:rFonts w:ascii="Times New Roman" w:hAnsi="Times New Roman" w:cs="Times New Roman"/>
          <w:i/>
          <w:i/>
          <w:sz w:val="28"/>
          <w:szCs w:val="28"/>
          <w:lang w:val="bg-BG"/>
        </w:rPr>
      </w:pPr>
      <w:r>
        <w:rPr>
          <w:rFonts w:cs="Times New Roman" w:ascii="Times New Roman" w:hAnsi="Times New Roman"/>
          <w:b/>
          <w:i/>
          <w:sz w:val="28"/>
          <w:szCs w:val="28"/>
          <w:lang w:val="bg-BG"/>
        </w:rPr>
        <w:t xml:space="preserve">Извадката </w:t>
      </w:r>
      <w:r>
        <w:rPr>
          <w:rFonts w:cs="Times New Roman" w:ascii="Times New Roman" w:hAnsi="Times New Roman"/>
          <w:i/>
          <w:sz w:val="28"/>
          <w:szCs w:val="28"/>
          <w:lang w:val="bg-BG"/>
        </w:rPr>
        <w:t>е от осем лица – трима леворъки и петима десноръки. Всички те са на възраст между 21 и 22 години, като техните имена няма да бъдат упоменавани в психологическото изследване, за да се запази гарантираната им анонимност, в декларациите за съгласие за участие в психологическото изследване.</w:t>
      </w:r>
    </w:p>
    <w:p>
      <w:pPr>
        <w:pStyle w:val="Normal"/>
        <w:spacing w:lineRule="auto" w:line="360"/>
        <w:rPr>
          <w:rFonts w:ascii="Times New Roman" w:hAnsi="Times New Roman" w:cs="Times New Roman"/>
          <w:i/>
          <w:i/>
          <w:sz w:val="28"/>
          <w:szCs w:val="28"/>
          <w:lang w:val="bg-BG"/>
        </w:rPr>
      </w:pPr>
      <w:r>
        <w:rPr>
          <w:rFonts w:cs="Times New Roman" w:ascii="Times New Roman" w:hAnsi="Times New Roman"/>
          <w:b/>
          <w:i/>
          <w:sz w:val="28"/>
          <w:szCs w:val="28"/>
          <w:lang w:val="bg-BG"/>
        </w:rPr>
        <w:t xml:space="preserve">Независима променлива </w:t>
      </w:r>
      <w:r>
        <w:rPr>
          <w:rFonts w:cs="Times New Roman" w:ascii="Times New Roman" w:hAnsi="Times New Roman"/>
          <w:i/>
          <w:sz w:val="28"/>
          <w:szCs w:val="28"/>
          <w:lang w:val="bg-BG"/>
        </w:rPr>
        <w:t>е доминирането на лява или дясна хемисфера, респективно дали лицето е деснорък или леворък.</w:t>
      </w:r>
    </w:p>
    <w:p>
      <w:pPr>
        <w:pStyle w:val="Normal"/>
        <w:spacing w:lineRule="auto" w:line="360"/>
        <w:rPr>
          <w:rFonts w:ascii="Times New Roman" w:hAnsi="Times New Roman" w:cs="Times New Roman"/>
          <w:i/>
          <w:i/>
          <w:sz w:val="28"/>
          <w:szCs w:val="28"/>
          <w:lang w:val="bg-BG"/>
        </w:rPr>
      </w:pPr>
      <w:r>
        <w:rPr>
          <w:rFonts w:cs="Times New Roman" w:ascii="Times New Roman" w:hAnsi="Times New Roman"/>
          <w:b/>
          <w:i/>
          <w:sz w:val="28"/>
          <w:szCs w:val="28"/>
          <w:lang w:val="bg-BG"/>
        </w:rPr>
        <w:t xml:space="preserve">Зависима променлива </w:t>
      </w:r>
      <w:r>
        <w:rPr>
          <w:rFonts w:cs="Times New Roman" w:ascii="Times New Roman" w:hAnsi="Times New Roman"/>
          <w:i/>
          <w:sz w:val="28"/>
          <w:szCs w:val="28"/>
          <w:lang w:val="bg-BG"/>
        </w:rPr>
        <w:t xml:space="preserve">е Зрителната координация на двете ръце, установена при реализирането на </w:t>
      </w:r>
      <w:r>
        <w:rPr>
          <w:rFonts w:cs="Times New Roman" w:ascii="Times New Roman" w:hAnsi="Times New Roman"/>
          <w:i/>
          <w:sz w:val="28"/>
          <w:szCs w:val="28"/>
        </w:rPr>
        <w:t xml:space="preserve">2 Hand </w:t>
      </w:r>
      <w:r>
        <w:rPr>
          <w:rFonts w:cs="Times New Roman" w:ascii="Times New Roman" w:hAnsi="Times New Roman"/>
          <w:i/>
          <w:sz w:val="28"/>
          <w:szCs w:val="28"/>
          <w:lang w:val="bg-BG"/>
        </w:rPr>
        <w:t>тест.</w:t>
      </w:r>
    </w:p>
    <w:p>
      <w:pPr>
        <w:pStyle w:val="Normal"/>
        <w:spacing w:lineRule="auto" w:line="360"/>
        <w:rPr>
          <w:rFonts w:ascii="Times New Roman" w:hAnsi="Times New Roman" w:cs="Times New Roman"/>
          <w:i/>
          <w:i/>
          <w:sz w:val="28"/>
          <w:szCs w:val="28"/>
          <w:lang w:val="bg-BG"/>
        </w:rPr>
      </w:pPr>
      <w:r>
        <w:rPr>
          <w:rFonts w:cs="Times New Roman" w:ascii="Times New Roman" w:hAnsi="Times New Roman"/>
          <w:b/>
          <w:i/>
          <w:sz w:val="28"/>
          <w:szCs w:val="28"/>
          <w:lang w:val="bg-BG"/>
        </w:rPr>
        <w:t xml:space="preserve">Експериментален план </w:t>
      </w:r>
      <w:r>
        <w:rPr>
          <w:rFonts w:cs="Times New Roman" w:ascii="Times New Roman" w:hAnsi="Times New Roman"/>
          <w:i/>
          <w:sz w:val="28"/>
          <w:szCs w:val="28"/>
          <w:lang w:val="bg-BG"/>
        </w:rPr>
        <w:t xml:space="preserve">– доекспериментален план, експериментален план с малко </w:t>
      </w:r>
      <w:r>
        <w:rPr>
          <w:rFonts w:cs="Times New Roman" w:ascii="Times New Roman" w:hAnsi="Times New Roman"/>
          <w:i/>
          <w:sz w:val="28"/>
          <w:szCs w:val="28"/>
        </w:rPr>
        <w:t>N</w:t>
      </w:r>
      <w:r>
        <w:rPr>
          <w:rFonts w:cs="Times New Roman" w:ascii="Times New Roman" w:hAnsi="Times New Roman"/>
          <w:i/>
          <w:sz w:val="28"/>
          <w:szCs w:val="28"/>
          <w:lang w:val="bg-BG"/>
        </w:rPr>
        <w:t>.</w:t>
      </w:r>
    </w:p>
    <w:p>
      <w:pPr>
        <w:pStyle w:val="Normal"/>
        <w:spacing w:lineRule="auto" w:line="360"/>
        <w:rPr>
          <w:rFonts w:ascii="Times New Roman" w:hAnsi="Times New Roman" w:cs="Times New Roman"/>
          <w:b/>
          <w:b/>
          <w:i/>
          <w:i/>
          <w:sz w:val="28"/>
          <w:szCs w:val="28"/>
          <w:lang w:val="bg-BG"/>
        </w:rPr>
      </w:pPr>
      <w:r>
        <w:rPr>
          <w:rFonts w:cs="Times New Roman" w:ascii="Times New Roman" w:hAnsi="Times New Roman"/>
          <w:b/>
          <w:i/>
          <w:sz w:val="28"/>
          <w:szCs w:val="28"/>
          <w:lang w:val="bg-BG"/>
        </w:rPr>
        <w:t>Резултати и анализ</w:t>
      </w:r>
    </w:p>
    <w:p>
      <w:pPr>
        <w:pStyle w:val="Normal"/>
        <w:spacing w:lineRule="auto" w:line="360"/>
        <w:rPr>
          <w:rFonts w:ascii="Times New Roman" w:hAnsi="Times New Roman" w:cs="Times New Roman"/>
          <w:b/>
          <w:b/>
          <w:i/>
          <w:i/>
          <w:sz w:val="28"/>
          <w:szCs w:val="28"/>
          <w:lang w:val="bg-BG"/>
        </w:rPr>
      </w:pPr>
      <w:r>
        <w:rPr>
          <w:rFonts w:cs="Times New Roman" w:ascii="Times New Roman" w:hAnsi="Times New Roman"/>
          <w:b/>
          <w:i/>
          <w:sz w:val="28"/>
          <w:szCs w:val="28"/>
          <w:lang w:val="bg-BG"/>
        </w:rPr>
        <w:t>Табл. Н 1</w:t>
      </w:r>
    </w:p>
    <w:tbl>
      <w:tblPr>
        <w:tblStyle w:val="TableGrid"/>
        <w:tblW w:w="962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207"/>
        <w:gridCol w:w="3207"/>
        <w:gridCol w:w="3208"/>
      </w:tblGrid>
      <w:tr>
        <w:trPr/>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Номер</w:t>
            </w:r>
          </w:p>
        </w:tc>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Инициали</w:t>
            </w:r>
          </w:p>
        </w:tc>
        <w:tc>
          <w:tcPr>
            <w:tcW w:w="3208"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Коеф. на зр.-дв. коорд.</w:t>
            </w:r>
          </w:p>
        </w:tc>
      </w:tr>
      <w:tr>
        <w:trPr/>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1.</w:t>
            </w:r>
          </w:p>
        </w:tc>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ЛНБ</w:t>
            </w:r>
          </w:p>
        </w:tc>
        <w:tc>
          <w:tcPr>
            <w:tcW w:w="3208"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2.11</w:t>
            </w:r>
          </w:p>
        </w:tc>
      </w:tr>
      <w:tr>
        <w:trPr/>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2.</w:t>
            </w:r>
          </w:p>
        </w:tc>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ТДИ</w:t>
            </w:r>
          </w:p>
        </w:tc>
        <w:tc>
          <w:tcPr>
            <w:tcW w:w="3208"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2.19</w:t>
            </w:r>
          </w:p>
        </w:tc>
      </w:tr>
      <w:tr>
        <w:trPr/>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3.</w:t>
            </w:r>
          </w:p>
        </w:tc>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М</w:t>
            </w:r>
          </w:p>
        </w:tc>
        <w:tc>
          <w:tcPr>
            <w:tcW w:w="3208"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2.55</w:t>
            </w:r>
          </w:p>
        </w:tc>
      </w:tr>
      <w:tr>
        <w:trPr/>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4.</w:t>
            </w:r>
          </w:p>
        </w:tc>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ДПА</w:t>
            </w:r>
          </w:p>
        </w:tc>
        <w:tc>
          <w:tcPr>
            <w:tcW w:w="3208"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3.75</w:t>
            </w:r>
          </w:p>
        </w:tc>
      </w:tr>
      <w:tr>
        <w:trPr/>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5.</w:t>
            </w:r>
          </w:p>
        </w:tc>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МК</w:t>
            </w:r>
          </w:p>
        </w:tc>
        <w:tc>
          <w:tcPr>
            <w:tcW w:w="3208"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4.84</w:t>
            </w:r>
          </w:p>
        </w:tc>
      </w:tr>
      <w:tr>
        <w:trPr/>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6.</w:t>
            </w:r>
          </w:p>
        </w:tc>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КПП</w:t>
            </w:r>
          </w:p>
        </w:tc>
        <w:tc>
          <w:tcPr>
            <w:tcW w:w="3208"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5.27</w:t>
            </w:r>
          </w:p>
        </w:tc>
      </w:tr>
      <w:tr>
        <w:trPr/>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7.</w:t>
            </w:r>
          </w:p>
        </w:tc>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А</w:t>
            </w:r>
          </w:p>
        </w:tc>
        <w:tc>
          <w:tcPr>
            <w:tcW w:w="3208"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7.01</w:t>
            </w:r>
          </w:p>
        </w:tc>
      </w:tr>
      <w:tr>
        <w:trPr/>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8.</w:t>
            </w:r>
          </w:p>
        </w:tc>
        <w:tc>
          <w:tcPr>
            <w:tcW w:w="3207"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ТМФ</w:t>
            </w:r>
          </w:p>
        </w:tc>
        <w:tc>
          <w:tcPr>
            <w:tcW w:w="3208" w:type="dxa"/>
            <w:tcBorders/>
          </w:tcPr>
          <w:p>
            <w:pPr>
              <w:pStyle w:val="Normal"/>
              <w:widowControl/>
              <w:spacing w:lineRule="auto" w:line="360" w:before="0" w:after="0"/>
              <w:jc w:val="left"/>
              <w:rPr>
                <w:rFonts w:ascii="Times New Roman" w:hAnsi="Times New Roman" w:cs="Times New Roman"/>
                <w:i/>
                <w:i/>
                <w:sz w:val="28"/>
                <w:szCs w:val="28"/>
                <w:lang w:val="bg-BG"/>
              </w:rPr>
            </w:pPr>
            <w:r>
              <w:rPr>
                <w:rFonts w:eastAsia="Calibri" w:cs="Times New Roman" w:ascii="Times New Roman" w:hAnsi="Times New Roman"/>
                <w:i/>
                <w:kern w:val="0"/>
                <w:sz w:val="28"/>
                <w:szCs w:val="28"/>
                <w:lang w:val="bg-BG" w:eastAsia="en-US" w:bidi="ar-SA"/>
              </w:rPr>
              <w:t>8.76</w:t>
            </w:r>
          </w:p>
        </w:tc>
      </w:tr>
    </w:tbl>
    <w:p>
      <w:pPr>
        <w:pStyle w:val="Normal"/>
        <w:spacing w:lineRule="auto" w:line="360"/>
        <w:rPr>
          <w:rFonts w:ascii="Times New Roman" w:hAnsi="Times New Roman" w:cs="Times New Roman"/>
          <w:i/>
          <w:i/>
          <w:sz w:val="28"/>
          <w:szCs w:val="28"/>
          <w:lang w:val="bg-BG"/>
        </w:rPr>
      </w:pPr>
      <w:r>
        <w:rPr>
          <w:rFonts w:cs="Times New Roman" w:ascii="Times New Roman" w:hAnsi="Times New Roman"/>
          <w:i/>
          <w:sz w:val="28"/>
          <w:szCs w:val="28"/>
          <w:lang w:val="bg-BG"/>
        </w:rPr>
      </w:r>
    </w:p>
    <w:p>
      <w:pPr>
        <w:pStyle w:val="Normal"/>
        <w:spacing w:lineRule="auto" w:line="360"/>
        <w:rPr>
          <w:rFonts w:ascii="Times New Roman" w:hAnsi="Times New Roman" w:cs="Times New Roman"/>
          <w:i/>
          <w:i/>
          <w:sz w:val="28"/>
          <w:szCs w:val="28"/>
          <w:lang w:val="bg-BG"/>
        </w:rPr>
      </w:pPr>
      <w:r>
        <w:rPr>
          <w:rFonts w:cs="Times New Roman" w:ascii="Times New Roman" w:hAnsi="Times New Roman"/>
          <w:i/>
          <w:sz w:val="28"/>
          <w:szCs w:val="28"/>
          <w:lang w:val="bg-BG"/>
        </w:rPr>
        <w:t xml:space="preserve">Въпреки, че резултатите по точност, определени от същия </w:t>
      </w:r>
      <w:r>
        <w:rPr>
          <w:rFonts w:cs="Times New Roman" w:ascii="Times New Roman" w:hAnsi="Times New Roman"/>
          <w:i/>
          <w:sz w:val="28"/>
          <w:szCs w:val="28"/>
        </w:rPr>
        <w:t xml:space="preserve">2 Hand </w:t>
      </w:r>
      <w:r>
        <w:rPr>
          <w:rFonts w:cs="Times New Roman" w:ascii="Times New Roman" w:hAnsi="Times New Roman"/>
          <w:i/>
          <w:sz w:val="28"/>
          <w:szCs w:val="28"/>
          <w:lang w:val="bg-BG"/>
        </w:rPr>
        <w:t xml:space="preserve">тест за Зрително-двигателна координация на двете ръце, са по-добро при десноръките, то коефициента на координация при тях е по-слаб. Това се обуславя от по-бавната им скорот при реализиране на теста. При леворъките е обратно, те са показват по-бързи, но по-неточни резултати, в резултат на което коефициента на координация на двете ръце е по-добър. </w:t>
      </w:r>
    </w:p>
    <w:p>
      <w:pPr>
        <w:pStyle w:val="Normal"/>
        <w:spacing w:lineRule="auto" w:line="360"/>
        <w:rPr>
          <w:rFonts w:ascii="Times New Roman" w:hAnsi="Times New Roman" w:cs="Times New Roman"/>
          <w:i/>
          <w:i/>
          <w:sz w:val="28"/>
          <w:szCs w:val="28"/>
          <w:lang w:val="bg-BG"/>
        </w:rPr>
      </w:pPr>
      <w:r>
        <w:rPr>
          <w:rFonts w:cs="Times New Roman" w:ascii="Times New Roman" w:hAnsi="Times New Roman"/>
          <w:b/>
          <w:i/>
          <w:sz w:val="28"/>
          <w:szCs w:val="28"/>
          <w:lang w:val="bg-BG"/>
        </w:rPr>
        <w:t xml:space="preserve">Хипотезата </w:t>
      </w:r>
      <w:r>
        <w:rPr>
          <w:rFonts w:cs="Times New Roman" w:ascii="Times New Roman" w:hAnsi="Times New Roman"/>
          <w:i/>
          <w:sz w:val="28"/>
          <w:szCs w:val="28"/>
          <w:lang w:val="bg-BG"/>
        </w:rPr>
        <w:t xml:space="preserve">на психологическото изследване бе доказана, тъй като само един деснорък от изследваните лица, показа добри резултати по отношение на координацията на двете ръце при теста, докато останалите четири десноръки изследвани лица, показаха лоши. Леворъките изследвани лица, показаха по-добри коефициенти на зрително-двигателна координация на двете ръце, в реализирането на текущия тест – </w:t>
      </w:r>
      <w:r>
        <w:rPr>
          <w:rFonts w:cs="Times New Roman" w:ascii="Times New Roman" w:hAnsi="Times New Roman"/>
          <w:i/>
          <w:sz w:val="28"/>
          <w:szCs w:val="28"/>
        </w:rPr>
        <w:t>2 Hand.</w:t>
      </w:r>
      <w:r>
        <w:rPr>
          <w:rFonts w:cs="Times New Roman" w:ascii="Times New Roman" w:hAnsi="Times New Roman"/>
          <w:i/>
          <w:sz w:val="28"/>
          <w:szCs w:val="28"/>
          <w:lang w:val="bg-BG"/>
        </w:rPr>
        <w:t xml:space="preserve"> От тук следва, че доминирането на дясната хемисфера на мозъка опосредства по-добра зрително-двигателна координация на двете ръце при извършване на професионална дейност, изискваща прецизност на движенията на ръцете.</w:t>
      </w:r>
    </w:p>
    <w:p>
      <w:pPr>
        <w:pStyle w:val="Normal"/>
        <w:spacing w:lineRule="auto" w:line="360"/>
        <w:rPr>
          <w:rFonts w:ascii="Times New Roman" w:hAnsi="Times New Roman" w:cs="Times New Roman"/>
          <w:i/>
          <w:i/>
          <w:sz w:val="28"/>
          <w:szCs w:val="28"/>
        </w:rPr>
      </w:pPr>
      <w:r>
        <w:rPr>
          <w:rFonts w:cs="Times New Roman" w:ascii="Times New Roman" w:hAnsi="Times New Roman"/>
          <w:b/>
          <w:i/>
          <w:sz w:val="28"/>
          <w:szCs w:val="28"/>
          <w:lang w:val="bg-BG"/>
        </w:rPr>
        <w:t xml:space="preserve">Етични проблеми и препоръки. </w:t>
      </w:r>
      <w:r>
        <w:rPr>
          <w:rFonts w:cs="Times New Roman" w:ascii="Times New Roman" w:hAnsi="Times New Roman"/>
          <w:i/>
          <w:sz w:val="28"/>
          <w:szCs w:val="28"/>
          <w:lang w:val="bg-BG"/>
        </w:rPr>
        <w:t>В случая  няма етични проблеми, тъй като е взето писмено разрешение от съответните лица. След приключване на експеримента, излизайки в добро физическо и психическо здраве от залата, в която бе извършено изследването. Спазена е анонимността на изследваните лица. Препоръки – психологическото изследване да се проведе на по-голям брой изследвани лица. Да се отчете пола, образованието, социалния фактор, както  темпераментовите особености и общите способности.</w:t>
      </w:r>
    </w:p>
    <w:p>
      <w:pPr>
        <w:pStyle w:val="Normal"/>
        <w:spacing w:lineRule="auto" w:line="360"/>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360"/>
        <w:jc w:val="center"/>
        <w:rPr>
          <w:rFonts w:ascii="Times New Roman" w:hAnsi="Times New Roman" w:cs="Times New Roman"/>
          <w:i/>
          <w:i/>
          <w:sz w:val="40"/>
          <w:szCs w:val="40"/>
          <w:lang w:val="bg-BG"/>
        </w:rPr>
      </w:pPr>
      <w:r>
        <w:rPr>
          <w:rFonts w:cs="Times New Roman" w:ascii="Times New Roman" w:hAnsi="Times New Roman"/>
          <w:i/>
          <w:sz w:val="40"/>
          <w:szCs w:val="40"/>
          <w:lang w:val="bg-BG"/>
        </w:rPr>
        <w:t>ЗАКЛЮЧЕНИЕ</w:t>
      </w:r>
    </w:p>
    <w:p>
      <w:pPr>
        <w:pStyle w:val="Normal"/>
        <w:spacing w:lineRule="auto" w:line="360"/>
        <w:jc w:val="center"/>
        <w:rPr>
          <w:rFonts w:ascii="Times New Roman" w:hAnsi="Times New Roman" w:cs="Times New Roman"/>
          <w:i/>
          <w:i/>
          <w:sz w:val="40"/>
          <w:szCs w:val="40"/>
          <w:lang w:val="bg-BG"/>
        </w:rPr>
      </w:pPr>
      <w:r>
        <w:rPr>
          <w:rFonts w:cs="Times New Roman" w:ascii="Times New Roman" w:hAnsi="Times New Roman"/>
          <w:i/>
          <w:sz w:val="40"/>
          <w:szCs w:val="40"/>
          <w:lang w:val="bg-BG"/>
        </w:rPr>
      </w:r>
    </w:p>
    <w:p>
      <w:pPr>
        <w:pStyle w:val="Normal"/>
        <w:spacing w:lineRule="auto" w:line="360"/>
        <w:rPr>
          <w:rFonts w:ascii="Times New Roman" w:hAnsi="Times New Roman" w:cs="Times New Roman"/>
          <w:i/>
          <w:i/>
          <w:sz w:val="28"/>
          <w:szCs w:val="28"/>
          <w:lang w:val="bg-BG"/>
        </w:rPr>
      </w:pPr>
      <w:r>
        <w:rPr>
          <w:rFonts w:cs="Times New Roman" w:ascii="Times New Roman" w:hAnsi="Times New Roman"/>
          <w:i/>
          <w:sz w:val="28"/>
          <w:szCs w:val="28"/>
          <w:lang w:val="bg-BG"/>
        </w:rPr>
        <w:t xml:space="preserve">В търсенето на все по-нови начини и методи за задвижване на икономиката, хората все по-често се поглеждат към оптимизиране средата и средствата на производството и в овладяване на по-добри техники в подбора на кадри. Особено място в случая заемат професиите, където се изисква прецизност на двете ръце, при извършване на дейността. Макар за някои професии, една грешка да коства само пари или производство на работодателя, в други, тя може да окаже решаващо влияние върху животи както е при сърдечните или мозъчните хирързи. За да се минимизират възможностите за грешки се търсят такива индивиди, които да отговарят най-добре на длъжностната характеристика на професията, притежавайки най-малка възможност за реализиране на грешки. Текущото изследване бе насочено към влиянието на зрително-двигателната координация при движението на ръцете, при професии, изискващи прецизност на движението на двете ръце. Хипотезата, която се потвърди даде основание за по-нататъчни разработки в тази насока, където има възможност индивидите, при които е на лице доминираща дясна хемисфера на мозъка, да бъдат предпочитани от работодателите, а в по-преден план този критерий, може да се окаже основен при насочването изобщо в специалностите във висшите учебни заведения. </w:t>
      </w:r>
    </w:p>
    <w:p>
      <w:pPr>
        <w:pStyle w:val="Normal"/>
        <w:spacing w:lineRule="auto" w:line="360"/>
        <w:rPr>
          <w:rFonts w:ascii="Times New Roman" w:hAnsi="Times New Roman" w:cs="Times New Roman"/>
          <w:i/>
          <w:i/>
          <w:sz w:val="40"/>
          <w:szCs w:val="40"/>
          <w:lang w:val="bg-BG"/>
        </w:rPr>
      </w:pPr>
      <w:r>
        <w:rPr>
          <w:rFonts w:cs="Times New Roman" w:ascii="Times New Roman" w:hAnsi="Times New Roman"/>
          <w:i/>
          <w:sz w:val="40"/>
          <w:szCs w:val="40"/>
          <w:lang w:val="bg-BG"/>
        </w:rPr>
      </w:r>
    </w:p>
    <w:p>
      <w:pPr>
        <w:pStyle w:val="Normal"/>
        <w:spacing w:lineRule="auto" w:line="360"/>
        <w:jc w:val="center"/>
        <w:rPr>
          <w:rFonts w:ascii="Times New Roman" w:hAnsi="Times New Roman" w:cs="Times New Roman"/>
          <w:b/>
          <w:b/>
          <w:i/>
          <w:i/>
          <w:sz w:val="40"/>
          <w:szCs w:val="40"/>
          <w:lang w:val="bg-BG"/>
        </w:rPr>
      </w:pPr>
      <w:r>
        <w:rPr>
          <w:rFonts w:cs="Times New Roman" w:ascii="Times New Roman" w:hAnsi="Times New Roman"/>
          <w:b/>
          <w:i/>
          <w:sz w:val="40"/>
          <w:szCs w:val="40"/>
          <w:lang w:val="bg-BG"/>
        </w:rPr>
        <w:t>Използвана литература и използвани материали</w:t>
      </w:r>
    </w:p>
    <w:p>
      <w:pPr>
        <w:pStyle w:val="Normal"/>
        <w:spacing w:lineRule="auto" w:line="360"/>
        <w:jc w:val="center"/>
        <w:rPr>
          <w:rFonts w:ascii="Times New Roman" w:hAnsi="Times New Roman" w:cs="Times New Roman"/>
          <w:b/>
          <w:b/>
          <w:i/>
          <w:i/>
          <w:sz w:val="28"/>
          <w:szCs w:val="28"/>
          <w:lang w:val="bg-BG"/>
        </w:rPr>
      </w:pPr>
      <w:r>
        <w:rPr>
          <w:rFonts w:cs="Times New Roman" w:ascii="Times New Roman" w:hAnsi="Times New Roman"/>
          <w:b/>
          <w:i/>
          <w:sz w:val="28"/>
          <w:szCs w:val="28"/>
          <w:lang w:val="bg-BG"/>
        </w:rPr>
      </w:r>
    </w:p>
    <w:p>
      <w:pPr>
        <w:pStyle w:val="Normal"/>
        <w:spacing w:lineRule="auto" w:line="360"/>
        <w:rPr>
          <w:rFonts w:ascii="Times New Roman" w:hAnsi="Times New Roman" w:cs="Times New Roman"/>
          <w:b/>
          <w:b/>
          <w:i/>
          <w:i/>
          <w:sz w:val="28"/>
          <w:szCs w:val="28"/>
          <w:lang w:val="bg-BG"/>
        </w:rPr>
      </w:pPr>
      <w:r>
        <w:rPr>
          <w:rFonts w:cs="Times New Roman" w:ascii="Times New Roman" w:hAnsi="Times New Roman"/>
          <w:b/>
          <w:i/>
          <w:sz w:val="28"/>
          <w:szCs w:val="28"/>
          <w:lang w:val="bg-BG"/>
        </w:rPr>
        <w:t>1. Експериментална психология – доц. д-р С. Стоянова;</w:t>
      </w:r>
    </w:p>
    <w:p>
      <w:pPr>
        <w:pStyle w:val="Normal"/>
        <w:spacing w:lineRule="auto" w:line="360"/>
        <w:rPr>
          <w:rFonts w:ascii="Times New Roman" w:hAnsi="Times New Roman" w:cs="Times New Roman"/>
          <w:b/>
          <w:b/>
          <w:i/>
          <w:i/>
          <w:sz w:val="28"/>
          <w:szCs w:val="28"/>
          <w:lang w:val="bg-BG"/>
        </w:rPr>
      </w:pPr>
      <w:r>
        <w:rPr>
          <w:rFonts w:cs="Times New Roman" w:ascii="Times New Roman" w:hAnsi="Times New Roman"/>
          <w:b/>
          <w:i/>
          <w:sz w:val="28"/>
          <w:szCs w:val="28"/>
          <w:lang w:val="bg-BG"/>
        </w:rPr>
        <w:t>2. Лекционен курс по Физиологична психология – доц. д-р Иванка Асенова;</w:t>
      </w:r>
    </w:p>
    <w:p>
      <w:pPr>
        <w:pStyle w:val="Normal"/>
        <w:spacing w:lineRule="auto" w:line="360"/>
        <w:rPr>
          <w:rFonts w:ascii="Times New Roman" w:hAnsi="Times New Roman" w:cs="Times New Roman"/>
          <w:b/>
          <w:b/>
          <w:i/>
          <w:i/>
          <w:sz w:val="28"/>
          <w:szCs w:val="28"/>
          <w:lang w:val="bg-BG"/>
        </w:rPr>
      </w:pPr>
      <w:r>
        <w:rPr>
          <w:rFonts w:cs="Times New Roman" w:ascii="Times New Roman" w:hAnsi="Times New Roman"/>
          <w:b/>
          <w:i/>
          <w:sz w:val="28"/>
          <w:szCs w:val="28"/>
          <w:lang w:val="bg-BG"/>
        </w:rPr>
        <w:t xml:space="preserve">3. </w:t>
      </w:r>
      <w:r>
        <w:rPr>
          <w:rFonts w:cs="Times New Roman" w:ascii="Times New Roman" w:hAnsi="Times New Roman"/>
          <w:b/>
          <w:i/>
          <w:sz w:val="28"/>
          <w:szCs w:val="28"/>
        </w:rPr>
        <w:t xml:space="preserve">Edinburgh Handedness Inventory </w:t>
      </w:r>
      <w:r>
        <w:rPr>
          <w:rFonts w:cs="Times New Roman" w:ascii="Times New Roman" w:hAnsi="Times New Roman"/>
          <w:b/>
          <w:i/>
          <w:sz w:val="28"/>
          <w:szCs w:val="28"/>
          <w:lang w:val="bg-BG"/>
        </w:rPr>
        <w:t>тест за определяне леворък и деснорък;</w:t>
      </w:r>
    </w:p>
    <w:p>
      <w:pPr>
        <w:pStyle w:val="Normal"/>
        <w:spacing w:lineRule="auto" w:line="360"/>
        <w:rPr>
          <w:rFonts w:ascii="Times New Roman" w:hAnsi="Times New Roman" w:cs="Times New Roman"/>
          <w:b/>
          <w:b/>
          <w:i/>
          <w:i/>
          <w:sz w:val="28"/>
          <w:szCs w:val="28"/>
          <w:lang w:val="bg-BG"/>
        </w:rPr>
      </w:pPr>
      <w:r>
        <w:rPr>
          <w:rFonts w:cs="Times New Roman" w:ascii="Times New Roman" w:hAnsi="Times New Roman"/>
          <w:b/>
          <w:i/>
          <w:sz w:val="28"/>
          <w:szCs w:val="28"/>
          <w:lang w:val="bg-BG"/>
        </w:rPr>
        <w:t xml:space="preserve">4. </w:t>
      </w:r>
      <w:r>
        <w:rPr>
          <w:rFonts w:cs="Times New Roman" w:ascii="Times New Roman" w:hAnsi="Times New Roman"/>
          <w:b/>
          <w:i/>
          <w:sz w:val="28"/>
          <w:szCs w:val="28"/>
        </w:rPr>
        <w:t xml:space="preserve">2 Hand </w:t>
      </w:r>
      <w:r>
        <w:rPr>
          <w:rFonts w:cs="Times New Roman" w:ascii="Times New Roman" w:hAnsi="Times New Roman"/>
          <w:b/>
          <w:i/>
          <w:sz w:val="28"/>
          <w:szCs w:val="28"/>
          <w:lang w:val="bg-BG"/>
        </w:rPr>
        <w:t>тест за Зрително-двигателна координация на двете ръце;</w:t>
      </w:r>
    </w:p>
    <w:p>
      <w:pPr>
        <w:pStyle w:val="Normal"/>
        <w:spacing w:lineRule="auto" w:line="360"/>
        <w:rPr>
          <w:rFonts w:ascii="Times New Roman" w:hAnsi="Times New Roman" w:cs="Times New Roman"/>
          <w:b/>
          <w:b/>
          <w:i/>
          <w:i/>
          <w:sz w:val="28"/>
          <w:szCs w:val="28"/>
          <w:lang w:val="bg-BG"/>
        </w:rPr>
      </w:pPr>
      <w:r>
        <w:rPr>
          <w:rFonts w:cs="Times New Roman" w:ascii="Times New Roman" w:hAnsi="Times New Roman"/>
          <w:b/>
          <w:i/>
          <w:sz w:val="28"/>
          <w:szCs w:val="28"/>
          <w:lang w:val="bg-BG"/>
        </w:rPr>
      </w:r>
    </w:p>
    <w:p>
      <w:pPr>
        <w:pStyle w:val="Normal"/>
        <w:spacing w:lineRule="auto" w:line="360"/>
        <w:jc w:val="right"/>
        <w:rPr>
          <w:rFonts w:ascii="Times New Roman" w:hAnsi="Times New Roman" w:cs="Times New Roman"/>
          <w:i/>
          <w:i/>
          <w:sz w:val="28"/>
          <w:szCs w:val="28"/>
          <w:lang w:val="bg-BG"/>
        </w:rPr>
      </w:pPr>
      <w:r>
        <w:rPr>
          <w:rFonts w:cs="Times New Roman" w:ascii="Times New Roman" w:hAnsi="Times New Roman"/>
          <w:i/>
          <w:sz w:val="28"/>
          <w:szCs w:val="28"/>
          <w:lang w:val="bg-BG"/>
        </w:rPr>
      </w:r>
    </w:p>
    <w:p>
      <w:pPr>
        <w:pStyle w:val="Normal"/>
        <w:spacing w:lineRule="auto" w:line="360"/>
        <w:jc w:val="right"/>
        <w:rPr>
          <w:rFonts w:ascii="Times New Roman" w:hAnsi="Times New Roman" w:cs="Times New Roman"/>
          <w:i/>
          <w:i/>
          <w:sz w:val="28"/>
          <w:szCs w:val="28"/>
          <w:lang w:val="bg-BG"/>
        </w:rPr>
      </w:pPr>
      <w:r>
        <w:rPr>
          <w:rFonts w:cs="Times New Roman" w:ascii="Times New Roman" w:hAnsi="Times New Roman"/>
          <w:i/>
          <w:sz w:val="28"/>
          <w:szCs w:val="28"/>
          <w:lang w:val="bg-BG"/>
        </w:rPr>
      </w:r>
    </w:p>
    <w:p>
      <w:pPr>
        <w:pStyle w:val="Normal"/>
        <w:spacing w:lineRule="auto" w:line="360"/>
        <w:jc w:val="right"/>
        <w:rPr>
          <w:rFonts w:ascii="Times New Roman" w:hAnsi="Times New Roman" w:cs="Times New Roman"/>
          <w:i/>
          <w:i/>
          <w:sz w:val="28"/>
          <w:szCs w:val="28"/>
          <w:lang w:val="bg-BG"/>
        </w:rPr>
      </w:pPr>
      <w:r>
        <w:rPr>
          <w:rFonts w:cs="Times New Roman" w:ascii="Times New Roman" w:hAnsi="Times New Roman"/>
          <w:i/>
          <w:sz w:val="28"/>
          <w:szCs w:val="28"/>
          <w:lang w:val="bg-BG"/>
        </w:rPr>
      </w:r>
    </w:p>
    <w:p>
      <w:pPr>
        <w:pStyle w:val="Normal"/>
        <w:spacing w:lineRule="auto" w:line="360"/>
        <w:jc w:val="center"/>
        <w:rPr>
          <w:rFonts w:ascii="Times New Roman" w:hAnsi="Times New Roman" w:cs="Times New Roman"/>
          <w:i/>
          <w:i/>
          <w:sz w:val="40"/>
          <w:szCs w:val="40"/>
          <w:lang w:val="bg-BG"/>
        </w:rPr>
      </w:pPr>
      <w:r>
        <w:rPr>
          <w:rFonts w:cs="Times New Roman" w:ascii="Times New Roman" w:hAnsi="Times New Roman"/>
          <w:i/>
          <w:sz w:val="40"/>
          <w:szCs w:val="40"/>
          <w:lang w:val="bg-BG"/>
        </w:rPr>
      </w:r>
    </w:p>
    <w:p>
      <w:pPr>
        <w:pStyle w:val="Normal"/>
        <w:spacing w:lineRule="auto" w:line="360" w:before="0" w:after="200"/>
        <w:jc w:val="center"/>
        <w:rPr>
          <w:rFonts w:ascii="Times New Roman" w:hAnsi="Times New Roman" w:cs="Times New Roman"/>
          <w:i/>
          <w:i/>
          <w:sz w:val="40"/>
          <w:szCs w:val="40"/>
          <w:lang w:val="bg-BG"/>
        </w:rPr>
      </w:pPr>
      <w:r>
        <w:rPr/>
      </w:r>
    </w:p>
    <w:sectPr>
      <w:type w:val="nextPage"/>
      <w:pgSz w:w="12240" w:h="15840"/>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14"/>
  <w:defaultTabStop w:val="720"/>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d87e7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B051C-C8BA-44EF-AC40-D13EC4C5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Application>LibreOffice/7.0.4.2$Linux_X86_64 LibreOffice_project/00$Build-2</Application>
  <AppVersion>15.0000</AppVersion>
  <Pages>6</Pages>
  <Words>1558</Words>
  <Characters>9225</Characters>
  <CharactersWithSpaces>10751</CharactersWithSpaces>
  <Paragraphs>62</Paragraphs>
  <Company>sumea miku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2012-11-11T11:29:00Z</dcterms:created>
  <dc:creator>kallinos</dc:creator>
  <dc:description/>
  <dc:language>en-US</dc:language>
  <cp:lastModifiedBy>Kallinos</cp:lastModifiedBy>
  <dcterms:modified xsi:type="dcterms:W3CDTF">2013-05-20T22:22:00Z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